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066CC"/>
        </w:rPr>
        <w:t>eTORO SOW PROPOSAL</w:t>
      </w:r>
    </w:p>
    <w:p/>
    <w:tbl>
      <w:tblPr>
        <w:tblStyle w:val="TableGrid"/>
        <w:tblW w:type="auto" w:w="0"/>
        <w:tblLook w:firstColumn="1" w:firstRow="1" w:lastColumn="0" w:lastRow="0" w:noHBand="0" w:noVBand="1" w:val="04A0"/>
      </w:tblPr>
      <w:tblGrid>
        <w:gridCol w:w="4320"/>
        <w:gridCol w:w="4320"/>
      </w:tblGrid>
      <w:tr>
        <w:tc>
          <w:tcPr>
            <w:tcW w:type="dxa" w:w="4320"/>
          </w:tcPr>
          <w:p>
            <w:r>
              <w:rPr>
                <w:color w:val="0066CC"/>
              </w:rPr>
              <w:t>Date</w:t>
            </w:r>
          </w:p>
        </w:tc>
        <w:tc>
          <w:tcPr>
            <w:tcW w:type="dxa" w:w="4320"/>
          </w:tcPr>
          <w:p>
            <w:r>
              <w:rPr>
                <w:color w:val="0066CC"/>
              </w:rPr>
              <w:t>[TBD]</w:t>
            </w:r>
          </w:p>
        </w:tc>
      </w:tr>
      <w:tr>
        <w:tc>
          <w:tcPr>
            <w:tcW w:type="dxa" w:w="4320"/>
          </w:tcPr>
          <w:p>
            <w:r>
              <w:rPr>
                <w:color w:val="0066CC"/>
              </w:rPr>
              <w:t>Client</w:t>
            </w:r>
          </w:p>
        </w:tc>
        <w:tc>
          <w:tcPr>
            <w:tcW w:type="dxa" w:w="4320"/>
          </w:tcPr>
          <w:p>
            <w:r>
              <w:rPr>
                <w:color w:val="0066CC"/>
              </w:rPr>
              <w:t>eToro</w:t>
            </w:r>
          </w:p>
        </w:tc>
      </w:tr>
      <w:tr>
        <w:tc>
          <w:tcPr>
            <w:tcW w:type="dxa" w:w="4320"/>
          </w:tcPr>
          <w:p>
            <w:r>
              <w:rPr>
                <w:color w:val="0066CC"/>
              </w:rPr>
              <w:t>Project name</w:t>
            </w:r>
          </w:p>
        </w:tc>
        <w:tc>
          <w:tcPr>
            <w:tcW w:type="dxa" w:w="4320"/>
          </w:tcPr>
          <w:p>
            <w:r>
              <w:rPr>
                <w:color w:val="0066CC"/>
              </w:rPr>
              <w:t>Brand Transformation &amp; AI-Powered Production Systems</w:t>
            </w:r>
          </w:p>
        </w:tc>
      </w:tr>
    </w:tbl>
    <w:p/>
    <w:p>
      <w:r>
        <w:t>──────────────────────────────────────────────────</w:t>
      </w:r>
    </w:p>
    <w:p>
      <w:pPr>
        <w:pStyle w:val="Heading1"/>
      </w:pPr>
      <w:r>
        <w:rPr>
          <w:color w:val="0066CC"/>
        </w:rPr>
        <w:t>Phase 1 - Onboarding, Discovery &amp; Tech Implementation</w:t>
      </w:r>
    </w:p>
    <w:p>
      <w:r>
        <w:rPr>
          <w:b w:val="0"/>
          <w:color w:val="0066CC"/>
        </w:rPr>
        <w:t>In the onboarding phase, we immerse ourselves in eToro's world—understanding your brand history, market position, internal culture, and competitive landscape. We conduct comprehensive stakeholder interviews and exhaustive competitive research to identify opportunities for differentiation.</w:t>
      </w:r>
    </w:p>
    <w:p>
      <w:r>
        <w:rPr>
          <w:b w:val="0"/>
          <w:color w:val="0066CC"/>
        </w:rPr>
        <w:t>Simultaneously, we implement the operational infrastructure that will power the rebrand: a dedicated Discord server with AI-augmented workflows, and a bespoke team of human + AI collaborators trained on eToro's specific needs.</w:t>
      </w:r>
    </w:p>
    <w:p/>
    <w:p>
      <w:pPr>
        <w:pStyle w:val="Heading2"/>
      </w:pPr>
      <w:r>
        <w:rPr>
          <w:color w:val="0066CC"/>
        </w:rPr>
        <w:t>Phase 1 - Onboarding &amp; Discovery</w:t>
      </w:r>
    </w:p>
    <w:tbl>
      <w:tblPr>
        <w:tblStyle w:val="TableGrid"/>
        <w:tblW w:type="auto" w:w="0"/>
        <w:tblLayout w:type="autofit"/>
        <w:tblLook w:firstColumn="1" w:firstRow="1" w:lastColumn="0" w:lastRow="0" w:noHBand="0" w:noVBand="1" w:val="04A0"/>
      </w:tblPr>
      <w:tblGrid>
        <w:gridCol w:w="4320"/>
        <w:gridCol w:w="4320"/>
      </w:tblGrid>
      <w:tr>
        <w:tc>
          <w:tcPr>
            <w:tcW w:type="dxa" w:w="4320"/>
          </w:tcPr>
          <w:p>
            <w:r>
              <w:rPr>
                <w:b/>
                <w:color w:val="0066CC"/>
              </w:rPr>
              <w:t>Process</w:t>
            </w:r>
          </w:p>
        </w:tc>
        <w:tc>
          <w:tcPr>
            <w:tcW w:type="dxa" w:w="4320"/>
          </w:tcPr>
          <w:p>
            <w:r>
              <w:rPr>
                <w:b/>
                <w:color w:val="0066CC"/>
              </w:rPr>
              <w:t>Deliverables</w:t>
            </w:r>
          </w:p>
        </w:tc>
      </w:tr>
      <w:tr>
        <w:tc>
          <w:tcPr>
            <w:tcW w:type="dxa" w:w="4320"/>
          </w:tcPr>
          <w:p/>
          <w:p>
            <w:pPr>
              <w:pStyle w:val="ListBullet"/>
            </w:pPr>
            <w:r>
              <w:rPr>
                <w:color w:val="0066CC"/>
              </w:rPr>
              <w:t>One-on-one sessions with C-Level / leadership</w:t>
            </w:r>
          </w:p>
          <w:p>
            <w:pPr>
              <w:pStyle w:val="ListBullet"/>
            </w:pPr>
            <w:r>
              <w:rPr>
                <w:color w:val="0066CC"/>
              </w:rPr>
              <w:t>Cross-functional team interviews</w:t>
            </w:r>
          </w:p>
          <w:p>
            <w:pPr>
              <w:pStyle w:val="ListBullet"/>
            </w:pPr>
            <w:r>
              <w:rPr>
                <w:color w:val="0066CC"/>
              </w:rPr>
              <w:t>Brand perception audit (internal + external)</w:t>
            </w:r>
          </w:p>
          <w:p>
            <w:pPr>
              <w:pStyle w:val="ListBullet"/>
            </w:pPr>
            <w:r>
              <w:rPr>
                <w:color w:val="0066CC"/>
              </w:rPr>
              <w:t>Competitive deep-dive (visual, messaging, product)</w:t>
            </w:r>
          </w:p>
          <w:p>
            <w:pPr>
              <w:pStyle w:val="ListBullet"/>
            </w:pPr>
            <w:r>
              <w:rPr>
                <w:color w:val="0066CC"/>
              </w:rPr>
              <w:t>Discord server setup with role-based access</w:t>
            </w:r>
          </w:p>
          <w:p>
            <w:pPr>
              <w:pStyle w:val="ListBullet"/>
            </w:pPr>
            <w:r>
              <w:rPr>
                <w:color w:val="0066CC"/>
              </w:rPr>
              <w:t>AI workflow implementation</w:t>
            </w:r>
          </w:p>
          <w:p>
            <w:pPr>
              <w:pStyle w:val="ListBullet"/>
            </w:pPr>
            <w:r>
              <w:rPr>
                <w:color w:val="0066CC"/>
              </w:rPr>
              <w:t>Team onboarding and training</w:t>
            </w:r>
          </w:p>
          <w:p>
            <w:pPr>
              <w:pStyle w:val="ListBullet"/>
            </w:pPr>
            <w:r>
              <w:rPr>
                <w:color w:val="0066CC"/>
              </w:rPr>
              <w:t>Production pipeline architecture</w:t>
            </w:r>
          </w:p>
        </w:tc>
        <w:tc>
          <w:tcPr>
            <w:tcW w:type="dxa" w:w="4320"/>
          </w:tcPr>
          <w:p/>
          <w:p>
            <w:r>
              <w:rPr>
                <w:b/>
                <w:color w:val="0066CC"/>
              </w:rPr>
              <w:t>Market Landscape:</w:t>
            </w:r>
          </w:p>
          <w:p>
            <w:pPr>
              <w:pStyle w:val="ListBullet"/>
            </w:pPr>
            <w:r>
              <w:rPr>
                <w:color w:val="0066CC"/>
              </w:rPr>
              <w:t>Exhaustive competitive research document</w:t>
            </w:r>
          </w:p>
          <w:p>
            <w:pPr>
              <w:pStyle w:val="ListBullet"/>
            </w:pPr>
            <w:r>
              <w:rPr>
                <w:color w:val="0066CC"/>
              </w:rPr>
              <w:t>Technology and platform audit</w:t>
            </w:r>
          </w:p>
          <w:p>
            <w:pPr>
              <w:pStyle w:val="ListBullet"/>
            </w:pPr>
            <w:r>
              <w:rPr>
                <w:color w:val="0066CC"/>
              </w:rPr>
              <w:t>Brand positioning gap analysis</w:t>
            </w:r>
          </w:p>
          <w:p>
            <w:r>
              <w:rPr>
                <w:b/>
                <w:color w:val="0066CC"/>
              </w:rPr>
              <w:t>Strategy Foundation:</w:t>
            </w:r>
          </w:p>
          <w:p>
            <w:pPr>
              <w:pStyle w:val="ListBullet"/>
            </w:pPr>
            <w:r>
              <w:rPr>
                <w:color w:val="0066CC"/>
              </w:rPr>
              <w:t>Brand narrative + Mission statement (what/how/why)</w:t>
            </w:r>
          </w:p>
          <w:p>
            <w:pPr>
              <w:pStyle w:val="ListBullet"/>
            </w:pPr>
            <w:r>
              <w:rPr>
                <w:color w:val="0066CC"/>
              </w:rPr>
              <w:t>Elevator pitch candidates</w:t>
            </w:r>
          </w:p>
          <w:p>
            <w:pPr>
              <w:pStyle w:val="ListBullet"/>
            </w:pPr>
            <w:r>
              <w:rPr>
                <w:color w:val="0066CC"/>
              </w:rPr>
              <w:t>Landscape deck: Industry + Competition</w:t>
            </w:r>
          </w:p>
          <w:p>
            <w:pPr>
              <w:pStyle w:val="ListBullet"/>
            </w:pPr>
            <w:r>
              <w:rPr>
                <w:color w:val="0066CC"/>
              </w:rPr>
              <w:t>Stakeholder interview synthesis</w:t>
            </w:r>
          </w:p>
          <w:p>
            <w:r>
              <w:rPr>
                <w:b/>
                <w:color w:val="0066CC"/>
              </w:rPr>
              <w:t>Operational Infrastructure:</w:t>
            </w:r>
          </w:p>
          <w:p>
            <w:pPr>
              <w:pStyle w:val="ListBullet"/>
            </w:pPr>
            <w:r>
              <w:rPr>
                <w:color w:val="0066CC"/>
              </w:rPr>
              <w:t>Dedicated Discord workspace</w:t>
            </w:r>
          </w:p>
          <w:p>
            <w:pPr>
              <w:pStyle w:val="ListBullet"/>
            </w:pPr>
            <w:r>
              <w:rPr>
                <w:color w:val="0066CC"/>
              </w:rPr>
              <w:t>AI-augmented production team (trained on eToro)</w:t>
            </w:r>
          </w:p>
          <w:p>
            <w:pPr>
              <w:pStyle w:val="ListBullet"/>
            </w:pPr>
            <w:r>
              <w:rPr>
                <w:color w:val="0066CC"/>
              </w:rPr>
              <w:t>Workflow documentation</w:t>
            </w:r>
          </w:p>
        </w:tc>
      </w:tr>
    </w:tbl>
    <w:p/>
    <w:p>
      <w:r>
        <w:rPr>
          <w:b/>
          <w:color w:val="0066CC"/>
        </w:rPr>
        <w:t>Result: The onboarding phase delivers two critical outputs: (1) a comprehensive understanding of eToro's brand position, competitive landscape, and opportunity spaces, and (2) a fully operational production infrastructure that accelerates all subsequent phases.</w:t>
      </w:r>
    </w:p>
    <w:p>
      <w:r>
        <w:t>──────────────────────────────────────────────────</w:t>
      </w:r>
    </w:p>
    <w:p>
      <w:pPr>
        <w:pStyle w:val="Heading1"/>
      </w:pPr>
      <w:r>
        <w:rPr>
          <w:color w:val="0066CC"/>
        </w:rPr>
        <w:t>Phase 2 - Rebrand: Design Direction &amp; Brand System</w:t>
      </w:r>
    </w:p>
    <w:p>
      <w:r>
        <w:rPr>
          <w:b w:val="0"/>
          <w:color w:val="0066CC"/>
        </w:rPr>
        <w:t>With strategic foundations in place, we move into the creative heart of the transformation. This phase defines eToro's elevated brand identity—how it looks, feels, and sounds across all touchpoints. We explore multiple design directions, refine through structured critique, and deliver a complete brand system ready for implementation.</w:t>
      </w:r>
    </w:p>
    <w:p/>
    <w:p>
      <w:pPr>
        <w:pStyle w:val="Heading2"/>
      </w:pPr>
      <w:r>
        <w:rPr>
          <w:color w:val="0066CC"/>
        </w:rPr>
        <w:t>Phase 2 - Branding Design</w:t>
      </w:r>
    </w:p>
    <w:tbl>
      <w:tblPr>
        <w:tblStyle w:val="TableGrid"/>
        <w:tblW w:type="auto" w:w="0"/>
        <w:tblLayout w:type="autofit"/>
        <w:tblLook w:firstColumn="1" w:firstRow="1" w:lastColumn="0" w:lastRow="0" w:noHBand="0" w:noVBand="1" w:val="04A0"/>
      </w:tblPr>
      <w:tblGrid>
        <w:gridCol w:w="4320"/>
        <w:gridCol w:w="4320"/>
      </w:tblGrid>
      <w:tr>
        <w:tc>
          <w:tcPr>
            <w:tcW w:type="dxa" w:w="4320"/>
          </w:tcPr>
          <w:p>
            <w:r>
              <w:rPr>
                <w:b/>
                <w:color w:val="0066CC"/>
              </w:rPr>
              <w:t>Process</w:t>
            </w:r>
          </w:p>
        </w:tc>
        <w:tc>
          <w:tcPr>
            <w:tcW w:type="dxa" w:w="4320"/>
          </w:tcPr>
          <w:p>
            <w:r>
              <w:rPr>
                <w:b/>
                <w:color w:val="0066CC"/>
              </w:rPr>
              <w:t>Deliverables</w:t>
            </w:r>
          </w:p>
        </w:tc>
      </w:tr>
      <w:tr>
        <w:tc>
          <w:tcPr>
            <w:tcW w:type="dxa" w:w="4320"/>
          </w:tcPr>
          <w:p/>
          <w:p>
            <w:pPr>
              <w:pStyle w:val="ListBullet"/>
            </w:pPr>
            <w:r>
              <w:rPr>
                <w:color w:val="0066CC"/>
              </w:rPr>
              <w:t>2-3 inspiration directions</w:t>
            </w:r>
          </w:p>
          <w:p>
            <w:pPr>
              <w:pStyle w:val="ListBullet"/>
            </w:pPr>
            <w:r>
              <w:rPr>
                <w:color w:val="0066CC"/>
              </w:rPr>
              <w:t>Moodboards and reference collection</w:t>
            </w:r>
          </w:p>
          <w:p>
            <w:pPr>
              <w:pStyle w:val="ListBullet"/>
            </w:pPr>
            <w:r>
              <w:rPr>
                <w:color w:val="0066CC"/>
              </w:rPr>
              <w:t>Stakeholder alignment sessions</w:t>
            </w:r>
          </w:p>
          <w:p>
            <w:pPr>
              <w:pStyle w:val="ListBullet"/>
            </w:pPr>
            <w:r>
              <w:rPr>
                <w:color w:val="0066CC"/>
              </w:rPr>
              <w:t>Brand Design Lock</w:t>
            </w:r>
          </w:p>
          <w:p>
            <w:pPr>
              <w:pStyle w:val="ListBullet"/>
            </w:pPr>
            <w:r>
              <w:rPr>
                <w:color w:val="0066CC"/>
              </w:rPr>
              <w:t>1 final design direction</w:t>
            </w:r>
          </w:p>
          <w:p>
            <w:pPr>
              <w:pStyle w:val="ListBullet"/>
            </w:pPr>
            <w:r>
              <w:rPr>
                <w:color w:val="0066CC"/>
              </w:rPr>
              <w:t>1 round of iterations included</w:t>
            </w:r>
          </w:p>
        </w:tc>
        <w:tc>
          <w:tcPr>
            <w:tcW w:type="dxa" w:w="4320"/>
          </w:tcPr>
          <w:p/>
          <w:p>
            <w:r>
              <w:rPr>
                <w:b/>
                <w:color w:val="0066CC"/>
              </w:rPr>
              <w:t>Brand Book:</w:t>
            </w:r>
          </w:p>
          <w:p>
            <w:pPr>
              <w:pStyle w:val="ListBullet"/>
            </w:pPr>
            <w:r>
              <w:rPr>
                <w:color w:val="0066CC"/>
              </w:rPr>
              <w:t>Creative direction and rationale</w:t>
            </w:r>
          </w:p>
          <w:p>
            <w:pPr>
              <w:pStyle w:val="ListBullet"/>
            </w:pPr>
            <w:r>
              <w:rPr>
                <w:color w:val="0066CC"/>
              </w:rPr>
              <w:t>Logo system + concept overview</w:t>
            </w:r>
          </w:p>
          <w:p>
            <w:pPr>
              <w:pStyle w:val="ListBullet"/>
            </w:pPr>
            <w:r>
              <w:rPr>
                <w:color w:val="0066CC"/>
              </w:rPr>
              <w:t>Wordmark and logomark variations</w:t>
            </w:r>
          </w:p>
          <w:p>
            <w:pPr>
              <w:pStyle w:val="ListBullet"/>
            </w:pPr>
            <w:r>
              <w:rPr>
                <w:color w:val="0066CC"/>
              </w:rPr>
              <w:t>Color palette (primary, secondary, extended)</w:t>
            </w:r>
          </w:p>
          <w:p>
            <w:pPr>
              <w:pStyle w:val="ListBullet"/>
            </w:pPr>
            <w:r>
              <w:rPr>
                <w:color w:val="0066CC"/>
              </w:rPr>
              <w:t>Typography system (hierarchy, pairings)</w:t>
            </w:r>
          </w:p>
          <w:p>
            <w:pPr>
              <w:pStyle w:val="ListBullet"/>
            </w:pPr>
            <w:r>
              <w:rPr>
                <w:color w:val="0066CC"/>
              </w:rPr>
              <w:t>Tone of voice guidelines</w:t>
            </w:r>
          </w:p>
          <w:p>
            <w:r>
              <w:rPr>
                <w:b/>
                <w:color w:val="0066CC"/>
              </w:rPr>
              <w:t>Design System:</w:t>
            </w:r>
          </w:p>
          <w:p>
            <w:pPr>
              <w:pStyle w:val="ListBullet"/>
            </w:pPr>
            <w:r>
              <w:rPr>
                <w:color w:val="0066CC"/>
              </w:rPr>
              <w:t>Logo usage and clear space rules</w:t>
            </w:r>
          </w:p>
          <w:p>
            <w:pPr>
              <w:pStyle w:val="ListBullet"/>
            </w:pPr>
            <w:r>
              <w:rPr>
                <w:color w:val="0066CC"/>
              </w:rPr>
              <w:t>Photo language and treatment guide</w:t>
            </w:r>
          </w:p>
          <w:p>
            <w:pPr>
              <w:pStyle w:val="ListBullet"/>
            </w:pPr>
            <w:r>
              <w:rPr>
                <w:color w:val="0066CC"/>
              </w:rPr>
              <w:t>Brand architecture (sub-brands, products)</w:t>
            </w:r>
          </w:p>
          <w:p>
            <w:pPr>
              <w:pStyle w:val="ListBullet"/>
            </w:pPr>
            <w:r>
              <w:rPr>
                <w:color w:val="0066CC"/>
              </w:rPr>
              <w:t>UI component foundations</w:t>
            </w:r>
          </w:p>
          <w:p>
            <w:pPr>
              <w:pStyle w:val="ListBullet"/>
            </w:pPr>
            <w:r>
              <w:rPr>
                <w:color w:val="0066CC"/>
              </w:rPr>
              <w:t>Application examples (digital, print, motion)</w:t>
            </w:r>
          </w:p>
        </w:tc>
      </w:tr>
    </w:tbl>
    <w:p/>
    <w:p>
      <w:r>
        <w:rPr>
          <w:b/>
          <w:color w:val="0066CC"/>
        </w:rPr>
        <w:t>Result: A complete brand identity system: the brand book serves as the strategic and visual bible, while the design system provides practical tools for consistent implementation.</w:t>
      </w:r>
    </w:p>
    <w:p>
      <w:r>
        <w:t>──────────────────────────────────────────────────</w:t>
      </w:r>
    </w:p>
    <w:p>
      <w:pPr>
        <w:pStyle w:val="Heading1"/>
      </w:pPr>
      <w:r>
        <w:rPr>
          <w:color w:val="0066CC"/>
        </w:rPr>
        <w:t>Phase 3 - Implementation (Optional)</w:t>
      </w:r>
    </w:p>
    <w:p>
      <w:r>
        <w:rPr>
          <w:b w:val="0"/>
          <w:color w:val="0066CC"/>
        </w:rPr>
        <w:t>Implementation bridges the gap between brand system and market presence. We ensure the new brand identity is not just documented, but actively deployed across all touchpoints.</w:t>
      </w:r>
    </w:p>
    <w:p>
      <w:r>
        <w:rPr>
          <w:b w:val="0"/>
          <w:color w:val="0066CC"/>
        </w:rPr>
        <w:t>This phase also establishes three specialized AI + human content production studios, each focused on a critical content type.</w:t>
      </w:r>
    </w:p>
    <w:p/>
    <w:p>
      <w:pPr>
        <w:pStyle w:val="Heading2"/>
      </w:pPr>
      <w:r>
        <w:rPr>
          <w:color w:val="0066CC"/>
        </w:rPr>
        <w:t>Phase 3 - Implementation</w:t>
      </w:r>
    </w:p>
    <w:tbl>
      <w:tblPr>
        <w:tblStyle w:val="TableGrid"/>
        <w:tblW w:type="auto" w:w="0"/>
        <w:tblLayout w:type="autofit"/>
        <w:tblLook w:firstColumn="1" w:firstRow="1" w:lastColumn="0" w:lastRow="0" w:noHBand="0" w:noVBand="1" w:val="04A0"/>
      </w:tblPr>
      <w:tblGrid>
        <w:gridCol w:w="4320"/>
        <w:gridCol w:w="4320"/>
      </w:tblGrid>
      <w:tr>
        <w:tc>
          <w:tcPr>
            <w:tcW w:type="dxa" w:w="4320"/>
          </w:tcPr>
          <w:p>
            <w:r>
              <w:rPr>
                <w:b/>
                <w:color w:val="0066CC"/>
              </w:rPr>
              <w:t>Process</w:t>
            </w:r>
          </w:p>
        </w:tc>
        <w:tc>
          <w:tcPr>
            <w:tcW w:type="dxa" w:w="4320"/>
          </w:tcPr>
          <w:p>
            <w:r>
              <w:rPr>
                <w:b/>
                <w:color w:val="0066CC"/>
              </w:rPr>
              <w:t>Deliverables</w:t>
            </w:r>
          </w:p>
        </w:tc>
      </w:tr>
      <w:tr>
        <w:tc>
          <w:tcPr>
            <w:tcW w:type="dxa" w:w="4320"/>
          </w:tcPr>
          <w:p/>
          <w:p>
            <w:pPr>
              <w:pStyle w:val="ListBullet"/>
            </w:pPr>
            <w:r>
              <w:rPr>
                <w:color w:val="0066CC"/>
              </w:rPr>
              <w:t>Website/landing page brand application</w:t>
            </w:r>
          </w:p>
          <w:p>
            <w:pPr>
              <w:pStyle w:val="ListBullet"/>
            </w:pPr>
            <w:r>
              <w:rPr>
                <w:color w:val="0066CC"/>
              </w:rPr>
              <w:t>Campaign asset creation</w:t>
            </w:r>
          </w:p>
          <w:p>
            <w:pPr>
              <w:pStyle w:val="ListBullet"/>
            </w:pPr>
            <w:r>
              <w:rPr>
                <w:color w:val="0066CC"/>
              </w:rPr>
              <w:t>Internal tools and templates</w:t>
            </w:r>
          </w:p>
          <w:p>
            <w:pPr>
              <w:pStyle w:val="ListBullet"/>
            </w:pPr>
            <w:r>
              <w:rPr>
                <w:color w:val="0066CC"/>
              </w:rPr>
              <w:t>Partner/affiliate materials</w:t>
            </w:r>
          </w:p>
          <w:p>
            <w:pPr>
              <w:pStyle w:val="ListBullet"/>
            </w:pPr>
            <w:r>
              <w:rPr>
                <w:color w:val="0066CC"/>
              </w:rPr>
              <w:t>Studio 1: Human photography (Weavy integration)</w:t>
            </w:r>
          </w:p>
          <w:p>
            <w:pPr>
              <w:pStyle w:val="ListBullet"/>
            </w:pPr>
            <w:r>
              <w:rPr>
                <w:color w:val="0066CC"/>
              </w:rPr>
              <w:t>Studio 2: Screen/product imagery</w:t>
            </w:r>
          </w:p>
          <w:p>
            <w:pPr>
              <w:pStyle w:val="ListBullet"/>
            </w:pPr>
            <w:r>
              <w:rPr>
                <w:color w:val="0066CC"/>
              </w:rPr>
              <w:t>Studio 3: Motion design</w:t>
            </w:r>
          </w:p>
        </w:tc>
        <w:tc>
          <w:tcPr>
            <w:tcW w:type="dxa" w:w="4320"/>
          </w:tcPr>
          <w:p/>
          <w:p>
            <w:r>
              <w:rPr>
                <w:b/>
                <w:color w:val="0066CC"/>
              </w:rPr>
              <w:t>Brand Deployment:</w:t>
            </w:r>
          </w:p>
          <w:p>
            <w:pPr>
              <w:pStyle w:val="ListBullet"/>
            </w:pPr>
            <w:r>
              <w:rPr>
                <w:color w:val="0066CC"/>
              </w:rPr>
              <w:t>Landing page templates (branded)</w:t>
            </w:r>
          </w:p>
          <w:p>
            <w:pPr>
              <w:pStyle w:val="ListBullet"/>
            </w:pPr>
            <w:r>
              <w:rPr>
                <w:color w:val="0066CC"/>
              </w:rPr>
              <w:t>Campaign asset library</w:t>
            </w:r>
          </w:p>
          <w:p>
            <w:pPr>
              <w:pStyle w:val="ListBullet"/>
            </w:pPr>
            <w:r>
              <w:rPr>
                <w:color w:val="0066CC"/>
              </w:rPr>
              <w:t>Internal presentation templates</w:t>
            </w:r>
          </w:p>
          <w:p>
            <w:pPr>
              <w:pStyle w:val="ListBullet"/>
            </w:pPr>
            <w:r>
              <w:rPr>
                <w:color w:val="0066CC"/>
              </w:rPr>
              <w:t>Partner brand guidelines</w:t>
            </w:r>
          </w:p>
          <w:p>
            <w:r>
              <w:rPr>
                <w:b/>
                <w:color w:val="0066CC"/>
              </w:rPr>
              <w:t>3 AI + Human Studios:</w:t>
            </w:r>
          </w:p>
          <w:p>
            <w:pPr>
              <w:pStyle w:val="ListBullet"/>
            </w:pPr>
            <w:r>
              <w:rPr>
                <w:color w:val="0066CC"/>
              </w:rPr>
              <w:t>Human photography production pipeline</w:t>
            </w:r>
          </w:p>
          <w:p>
            <w:pPr>
              <w:pStyle w:val="ListBullet"/>
            </w:pPr>
            <w:r>
              <w:rPr>
                <w:color w:val="0066CC"/>
              </w:rPr>
              <w:t>Screen capture and product shot pipeline</w:t>
            </w:r>
          </w:p>
          <w:p>
            <w:pPr>
              <w:pStyle w:val="ListBullet"/>
            </w:pPr>
            <w:r>
              <w:rPr>
                <w:color w:val="0066CC"/>
              </w:rPr>
              <w:t>Motion design production pipeline</w:t>
            </w:r>
          </w:p>
          <w:p>
            <w:pPr>
              <w:pStyle w:val="ListBullet"/>
            </w:pPr>
            <w:r>
              <w:rPr>
                <w:color w:val="0066CC"/>
              </w:rPr>
              <w:t>Quality control workflows</w:t>
            </w:r>
          </w:p>
          <w:p>
            <w:pPr>
              <w:pStyle w:val="ListBullet"/>
            </w:pPr>
            <w:r>
              <w:rPr>
                <w:color w:val="0066CC"/>
              </w:rPr>
              <w:t>Team training and documentation</w:t>
            </w:r>
          </w:p>
        </w:tc>
      </w:tr>
    </w:tbl>
    <w:p/>
    <w:p>
      <w:r>
        <w:rPr>
          <w:b/>
          <w:color w:val="0066CC"/>
        </w:rPr>
        <w:t>Result: eToro's new brand is alive across every channel. The three production studios ensure a continuous stream of on-brand content.</w:t>
      </w:r>
    </w:p>
    <w:p>
      <w:r>
        <w:t>──────────────────────────────────────────────────</w:t>
      </w:r>
    </w:p>
    <w:p>
      <w:pPr>
        <w:pStyle w:val="Heading1"/>
      </w:pPr>
      <w:r>
        <w:rPr>
          <w:color w:val="0066CC"/>
        </w:rPr>
        <w:t>Phase 4 - Scale: Campaign Machine &amp; Automation</w:t>
      </w:r>
    </w:p>
    <w:p>
      <w:r>
        <w:rPr>
          <w:b w:val="0"/>
          <w:color w:val="0066CC"/>
        </w:rPr>
        <w:t>The final phase transforms eToro's brand operations from a creative process into a creative machine. We architect systems that generate campaigns, landing pages, and sales materials at scale.</w:t>
      </w:r>
    </w:p>
    <w:p/>
    <w:p>
      <w:pPr>
        <w:pStyle w:val="Heading2"/>
      </w:pPr>
      <w:r>
        <w:rPr>
          <w:color w:val="0066CC"/>
        </w:rPr>
        <w:t>Phase 4 - Scale</w:t>
      </w:r>
    </w:p>
    <w:tbl>
      <w:tblPr>
        <w:tblStyle w:val="TableGrid"/>
        <w:tblW w:type="auto" w:w="0"/>
        <w:tblLayout w:type="autofit"/>
        <w:tblLook w:firstColumn="1" w:firstRow="1" w:lastColumn="0" w:lastRow="0" w:noHBand="0" w:noVBand="1" w:val="04A0"/>
      </w:tblPr>
      <w:tblGrid>
        <w:gridCol w:w="4320"/>
        <w:gridCol w:w="4320"/>
      </w:tblGrid>
      <w:tr>
        <w:tc>
          <w:tcPr>
            <w:tcW w:type="dxa" w:w="4320"/>
          </w:tcPr>
          <w:p>
            <w:r>
              <w:rPr>
                <w:b/>
                <w:color w:val="0066CC"/>
              </w:rPr>
              <w:t>Process</w:t>
            </w:r>
          </w:p>
        </w:tc>
        <w:tc>
          <w:tcPr>
            <w:tcW w:type="dxa" w:w="4320"/>
          </w:tcPr>
          <w:p>
            <w:r>
              <w:rPr>
                <w:b/>
                <w:color w:val="0066CC"/>
              </w:rPr>
              <w:t>Deliverables</w:t>
            </w:r>
          </w:p>
        </w:tc>
      </w:tr>
      <w:tr>
        <w:tc>
          <w:tcPr>
            <w:tcW w:type="dxa" w:w="4320"/>
          </w:tcPr>
          <w:p/>
          <w:p>
            <w:pPr>
              <w:pStyle w:val="ListBullet"/>
            </w:pPr>
            <w:r>
              <w:rPr>
                <w:color w:val="0066CC"/>
              </w:rPr>
              <w:t>Campaign template architecture</w:t>
            </w:r>
          </w:p>
          <w:p>
            <w:pPr>
              <w:pStyle w:val="ListBullet"/>
            </w:pPr>
            <w:r>
              <w:rPr>
                <w:color w:val="0066CC"/>
              </w:rPr>
              <w:t>AI-powered asset generation</w:t>
            </w:r>
          </w:p>
          <w:p>
            <w:pPr>
              <w:pStyle w:val="ListBullet"/>
            </w:pPr>
            <w:r>
              <w:rPr>
                <w:color w:val="0066CC"/>
              </w:rPr>
              <w:t>A/B testing integration</w:t>
            </w:r>
          </w:p>
          <w:p>
            <w:pPr>
              <w:pStyle w:val="ListBullet"/>
            </w:pPr>
            <w:r>
              <w:rPr>
                <w:color w:val="0066CC"/>
              </w:rPr>
              <w:t>Landing page → conversion flow</w:t>
            </w:r>
          </w:p>
          <w:p>
            <w:pPr>
              <w:pStyle w:val="ListBullet"/>
            </w:pPr>
            <w:r>
              <w:rPr>
                <w:color w:val="0066CC"/>
              </w:rPr>
              <w:t>CRM/analytics integration</w:t>
            </w:r>
          </w:p>
          <w:p>
            <w:pPr>
              <w:pStyle w:val="ListBullet"/>
            </w:pPr>
            <w:r>
              <w:rPr>
                <w:color w:val="0066CC"/>
              </w:rPr>
              <w:t>Performance feedback loops</w:t>
            </w:r>
          </w:p>
          <w:p>
            <w:pPr>
              <w:pStyle w:val="ListBullet"/>
            </w:pPr>
            <w:r>
              <w:rPr>
                <w:color w:val="0066CC"/>
              </w:rPr>
              <w:t>Team training on all systems</w:t>
            </w:r>
          </w:p>
          <w:p>
            <w:pPr>
              <w:pStyle w:val="ListBullet"/>
            </w:pPr>
            <w:r>
              <w:rPr>
                <w:color w:val="0066CC"/>
              </w:rPr>
              <w:t>Runbook creation</w:t>
            </w:r>
          </w:p>
        </w:tc>
        <w:tc>
          <w:tcPr>
            <w:tcW w:type="dxa" w:w="4320"/>
          </w:tcPr>
          <w:p/>
          <w:p>
            <w:r>
              <w:rPr>
                <w:b/>
                <w:color w:val="0066CC"/>
              </w:rPr>
              <w:t>Campaign Generation System:</w:t>
            </w:r>
          </w:p>
          <w:p>
            <w:pPr>
              <w:pStyle w:val="ListBullet"/>
            </w:pPr>
            <w:r>
              <w:rPr>
                <w:color w:val="0066CC"/>
              </w:rPr>
              <w:t>Campaign brief → asset pipeline</w:t>
            </w:r>
          </w:p>
          <w:p>
            <w:pPr>
              <w:pStyle w:val="ListBullet"/>
            </w:pPr>
            <w:r>
              <w:rPr>
                <w:color w:val="0066CC"/>
              </w:rPr>
              <w:t>Landing page generation system</w:t>
            </w:r>
          </w:p>
          <w:p>
            <w:pPr>
              <w:pStyle w:val="ListBullet"/>
            </w:pPr>
            <w:r>
              <w:rPr>
                <w:color w:val="0066CC"/>
              </w:rPr>
              <w:t>Multi-variant creative generation</w:t>
            </w:r>
          </w:p>
          <w:p>
            <w:r>
              <w:rPr>
                <w:b/>
                <w:color w:val="0066CC"/>
              </w:rPr>
              <w:t>End-to-End Automation:</w:t>
            </w:r>
          </w:p>
          <w:p>
            <w:pPr>
              <w:pStyle w:val="ListBullet"/>
            </w:pPr>
            <w:r>
              <w:rPr>
                <w:color w:val="0066CC"/>
              </w:rPr>
              <w:t>Campaign → landing page → CTA pipeline</w:t>
            </w:r>
          </w:p>
          <w:p>
            <w:pPr>
              <w:pStyle w:val="ListBullet"/>
            </w:pPr>
            <w:r>
              <w:rPr>
                <w:color w:val="0066CC"/>
              </w:rPr>
              <w:t>Performance tracking dashboard</w:t>
            </w:r>
          </w:p>
          <w:p>
            <w:pPr>
              <w:pStyle w:val="ListBullet"/>
            </w:pPr>
            <w:r>
              <w:rPr>
                <w:color w:val="0066CC"/>
              </w:rPr>
              <w:t>Optimization recommendation engine</w:t>
            </w:r>
          </w:p>
          <w:p>
            <w:r>
              <w:rPr>
                <w:b/>
                <w:color w:val="0066CC"/>
              </w:rPr>
              <w:t>Operations Handoff:</w:t>
            </w:r>
          </w:p>
          <w:p>
            <w:pPr>
              <w:pStyle w:val="ListBullet"/>
            </w:pPr>
            <w:r>
              <w:rPr>
                <w:color w:val="0066CC"/>
              </w:rPr>
              <w:t>Complete system documentation</w:t>
            </w:r>
          </w:p>
          <w:p>
            <w:pPr>
              <w:pStyle w:val="ListBullet"/>
            </w:pPr>
            <w:r>
              <w:rPr>
                <w:color w:val="0066CC"/>
              </w:rPr>
              <w:t>Training materials and videos</w:t>
            </w:r>
          </w:p>
          <w:p>
            <w:pPr>
              <w:pStyle w:val="ListBullet"/>
            </w:pPr>
            <w:r>
              <w:rPr>
                <w:color w:val="0066CC"/>
              </w:rPr>
              <w:t>Support SLA (TBD)</w:t>
            </w:r>
          </w:p>
        </w:tc>
      </w:tr>
    </w:tbl>
    <w:p/>
    <w:p>
      <w:r>
        <w:rPr>
          <w:b/>
          <w:color w:val="0066CC"/>
        </w:rPr>
        <w:t>Result: A self-sustaining brand machine. eToro gains the ability to launch campaigns in hours instead of weeks.</w:t>
      </w:r>
    </w:p>
    <w:p>
      <w:r>
        <w:t>──────────────────────────────────────────────────</w:t>
      </w:r>
    </w:p>
    <w:p>
      <w:pPr>
        <w:pStyle w:val="Heading1"/>
      </w:pPr>
      <w:r>
        <w:rPr>
          <w:color w:val="0066CC"/>
        </w:rPr>
        <w:t>Your Investment &amp; Payment Terms</w:t>
      </w:r>
    </w:p>
    <w:p>
      <w:r>
        <w:rPr>
          <w:b/>
          <w:color w:val="0066CC"/>
        </w:rPr>
        <w:t>PRICING OPTIONS:</w:t>
      </w:r>
    </w:p>
    <w:p/>
    <w:p>
      <w:r>
        <w:rPr>
          <w:b w:val="0"/>
          <w:color w:val="0066CC"/>
        </w:rPr>
        <w:t>Option A: Full Transformation (Phases 1-4)</w:t>
      </w:r>
    </w:p>
    <w:p>
      <w:r>
        <w:rPr>
          <w:b/>
          <w:color w:val="0066CC"/>
        </w:rPr>
        <w:t>Total Project Cost: $[TBD]</w:t>
      </w:r>
    </w:p>
    <w:p/>
    <w:p>
      <w:r>
        <w:rPr>
          <w:b w:val="0"/>
          <w:color w:val="0066CC"/>
        </w:rPr>
        <w:t>Option B: Core Rebrand (Phases 1-2)</w:t>
      </w:r>
    </w:p>
    <w:p>
      <w:r>
        <w:rPr>
          <w:b/>
          <w:color w:val="0066CC"/>
        </w:rPr>
        <w:t>Total Project Cost: $[TBD]</w:t>
      </w:r>
    </w:p>
    <w:p/>
    <w:p>
      <w:r>
        <w:rPr>
          <w:b/>
          <w:color w:val="0066CC"/>
        </w:rPr>
        <w:t>Option C: Phased Approach</w:t>
      </w:r>
    </w:p>
    <w:p>
      <w:pPr>
        <w:pStyle w:val="ListBullet"/>
      </w:pPr>
      <w:r>
        <w:rPr>
          <w:color w:val="0066CC"/>
        </w:rPr>
        <w:t>Phase 1: $[TBD] - Onboarding &amp; Discovery</w:t>
      </w:r>
    </w:p>
    <w:p>
      <w:pPr>
        <w:pStyle w:val="ListBullet"/>
      </w:pPr>
      <w:r>
        <w:rPr>
          <w:color w:val="0066CC"/>
        </w:rPr>
        <w:t>Phase 2: $[TBD] - Rebrand &amp; Brand System</w:t>
      </w:r>
    </w:p>
    <w:p>
      <w:pPr>
        <w:pStyle w:val="ListBullet"/>
      </w:pPr>
      <w:r>
        <w:rPr>
          <w:color w:val="0066CC"/>
        </w:rPr>
        <w:t>Phase 3: $[TBD] - Implementation (Optional)</w:t>
      </w:r>
    </w:p>
    <w:p>
      <w:pPr>
        <w:pStyle w:val="ListBullet"/>
      </w:pPr>
      <w:r>
        <w:rPr>
          <w:color w:val="0066CC"/>
        </w:rPr>
        <w:t>Phase 4: $[TBD] - Scale (Optional)</w:t>
      </w:r>
    </w:p>
    <w:p/>
    <w:p>
      <w:r>
        <w:rPr>
          <w:b/>
          <w:color w:val="0066CC"/>
        </w:rPr>
        <w:t>Payment Terms:</w:t>
      </w:r>
    </w:p>
    <w:p>
      <w:r>
        <w:rPr>
          <w:b w:val="0"/>
          <w:color w:val="0066CC"/>
        </w:rPr>
        <w:t>Invoices are due within 15 days of receipt.</w:t>
      </w:r>
    </w:p>
    <w:p>
      <w:pPr>
        <w:pStyle w:val="ListBullet"/>
      </w:pPr>
      <w:r>
        <w:rPr>
          <w:color w:val="0066CC"/>
        </w:rPr>
        <w:t>[X]% due upon signing this Statement of Work</w:t>
      </w:r>
    </w:p>
    <w:p>
      <w:pPr>
        <w:pStyle w:val="ListBullet"/>
      </w:pPr>
      <w:r>
        <w:rPr>
          <w:color w:val="0066CC"/>
        </w:rPr>
        <w:t>[X]% due upon completion of Phase 1</w:t>
      </w:r>
    </w:p>
    <w:p>
      <w:pPr>
        <w:pStyle w:val="ListBullet"/>
      </w:pPr>
      <w:r>
        <w:rPr>
          <w:color w:val="0066CC"/>
        </w:rPr>
        <w:t>[X]% due upon delivery of brand book (Phase 2)</w:t>
      </w:r>
    </w:p>
    <w:p>
      <w:pPr>
        <w:pStyle w:val="ListBullet"/>
      </w:pPr>
      <w:r>
        <w:rPr>
          <w:color w:val="0066CC"/>
        </w:rPr>
        <w:t>[X]% due upon final delivery</w:t>
      </w:r>
    </w:p>
    <w:p/>
    <w:p>
      <w:r>
        <w:rPr>
          <w:b w:val="0"/>
          <w:color w:val="0066CC"/>
        </w:rPr>
        <w:t>Note: Company is not entitled to any of the Intellectual Property ("IP") created over the course of this Statement of Work until the full project fee has been paid. Transfer of IP to Company occurs upon final payment.</w:t>
      </w:r>
    </w:p>
    <w:p>
      <w:r>
        <w:t>──────────────────────────────────────────────────</w:t>
      </w:r>
    </w:p>
    <w:p>
      <w:pPr>
        <w:pStyle w:val="Heading1"/>
      </w:pPr>
      <w:r>
        <w:rPr>
          <w:color w:val="0066CC"/>
        </w:rPr>
        <w:t>Signatures</w:t>
      </w:r>
    </w:p>
    <w:tbl>
      <w:tblPr>
        <w:tblStyle w:val="TableGrid"/>
        <w:tblW w:type="auto" w:w="0"/>
        <w:tblLook w:firstColumn="1" w:firstRow="1" w:lastColumn="0" w:lastRow="0" w:noHBand="0" w:noVBand="1" w:val="04A0"/>
      </w:tblPr>
      <w:tblGrid>
        <w:gridCol w:w="4320"/>
        <w:gridCol w:w="4320"/>
      </w:tblGrid>
      <w:tr>
        <w:tc>
          <w:tcPr>
            <w:tcW w:type="dxa" w:w="4320"/>
          </w:tcPr>
          <w:p>
            <w:r>
              <w:rPr>
                <w:color w:val="0066CC"/>
              </w:rPr>
              <w:t>Curious Endeavor LLC</w:t>
            </w:r>
          </w:p>
        </w:tc>
        <w:tc>
          <w:tcPr>
            <w:tcW w:type="dxa" w:w="4320"/>
          </w:tcPr>
          <w:p>
            <w:r>
              <w:rPr>
                <w:color w:val="0066CC"/>
              </w:rPr>
              <w:t>eToro</w:t>
            </w:r>
          </w:p>
        </w:tc>
      </w:tr>
      <w:tr>
        <w:tc>
          <w:tcPr>
            <w:tcW w:type="dxa" w:w="4320"/>
          </w:tcPr>
          <w:p>
            <w:r>
              <w:rPr>
                <w:color w:val="0066CC"/>
              </w:rPr>
              <w:t>Company name: ________________</w:t>
            </w:r>
          </w:p>
        </w:tc>
        <w:tc>
          <w:tcPr>
            <w:tcW w:type="dxa" w:w="4320"/>
          </w:tcPr>
          <w:p>
            <w:r>
              <w:rPr>
                <w:color w:val="0066CC"/>
              </w:rPr>
              <w:t>Company name: ________________</w:t>
            </w:r>
          </w:p>
        </w:tc>
      </w:tr>
      <w:tr>
        <w:tc>
          <w:tcPr>
            <w:tcW w:type="dxa" w:w="4320"/>
          </w:tcPr>
          <w:p>
            <w:r>
              <w:rPr>
                <w:color w:val="0066CC"/>
              </w:rPr>
              <w:t>Full name: ________________</w:t>
            </w:r>
          </w:p>
        </w:tc>
        <w:tc>
          <w:tcPr>
            <w:tcW w:type="dxa" w:w="4320"/>
          </w:tcPr>
          <w:p>
            <w:r>
              <w:rPr>
                <w:color w:val="0066CC"/>
              </w:rPr>
              <w:t>Full name: ________________</w:t>
            </w:r>
          </w:p>
        </w:tc>
      </w:tr>
      <w:tr>
        <w:tc>
          <w:tcPr>
            <w:tcW w:type="dxa" w:w="4320"/>
          </w:tcPr>
          <w:p>
            <w:r>
              <w:rPr>
                <w:color w:val="0066CC"/>
              </w:rPr>
              <w:t>Title: ________________</w:t>
            </w:r>
          </w:p>
        </w:tc>
        <w:tc>
          <w:tcPr>
            <w:tcW w:type="dxa" w:w="4320"/>
          </w:tcPr>
          <w:p>
            <w:r>
              <w:rPr>
                <w:color w:val="0066CC"/>
              </w:rPr>
              <w:t>Title: ________________</w:t>
            </w:r>
          </w:p>
        </w:tc>
      </w:tr>
      <w:tr>
        <w:tc>
          <w:tcPr>
            <w:tcW w:type="dxa" w:w="4320"/>
          </w:tcPr>
          <w:p>
            <w:r>
              <w:rPr>
                <w:color w:val="0066CC"/>
              </w:rPr>
              <w:t>Signature: ________________</w:t>
            </w:r>
          </w:p>
        </w:tc>
        <w:tc>
          <w:tcPr>
            <w:tcW w:type="dxa" w:w="4320"/>
          </w:tcPr>
          <w:p>
            <w:r>
              <w:rPr>
                <w:color w:val="0066CC"/>
              </w:rPr>
              <w:t>Signature: ________________</w:t>
            </w:r>
          </w:p>
        </w:tc>
      </w:tr>
      <w:tr>
        <w:tc>
          <w:tcPr>
            <w:tcW w:type="dxa" w:w="4320"/>
          </w:tcPr>
          <w:p>
            <w:r>
              <w:rPr>
                <w:color w:val="0066CC"/>
              </w:rPr>
              <w:t>Date: ________________</w:t>
            </w:r>
          </w:p>
        </w:tc>
        <w:tc>
          <w:tcPr>
            <w:tcW w:type="dxa" w:w="4320"/>
          </w:tcPr>
          <w:p>
            <w:r>
              <w:rPr>
                <w:color w:val="0066CC"/>
              </w:rPr>
              <w:t>Date: ________________</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